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Default="005B08BF" w:rsidP="001D122C">
      <w:pPr>
        <w:spacing w:line="276" w:lineRule="auto"/>
        <w:jc w:val="both"/>
        <w:rPr>
          <w:b/>
          <w:bCs/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219C3" w:rsidRPr="007219C3">
        <w:rPr>
          <w:b/>
          <w:lang w:val="ro-RO"/>
        </w:rPr>
        <w:t xml:space="preserve">Expert </w:t>
      </w:r>
      <w:r w:rsidR="0018464A">
        <w:rPr>
          <w:b/>
          <w:lang w:val="ro-RO"/>
        </w:rPr>
        <w:t>IT securitate cibernetică</w:t>
      </w:r>
      <w:bookmarkStart w:id="0" w:name="_GoBack"/>
      <w:bookmarkEnd w:id="0"/>
      <w:r w:rsidR="00D94F2E" w:rsidRPr="00D94F2E">
        <w:rPr>
          <w:rFonts w:eastAsia="Calibri"/>
          <w:b/>
        </w:rPr>
        <w:t xml:space="preserve"> </w:t>
      </w:r>
      <w:r w:rsidR="00FB699A">
        <w:rPr>
          <w:b/>
          <w:lang w:val="ro-RO"/>
        </w:rPr>
        <w:t>– 4</w:t>
      </w:r>
      <w:r w:rsidR="00E2766B" w:rsidRPr="007432DE">
        <w:rPr>
          <w:b/>
          <w:lang w:val="ro-RO"/>
        </w:rPr>
        <w:t xml:space="preserve"> post</w:t>
      </w:r>
      <w:r w:rsidR="007219C3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 </w:t>
      </w:r>
      <w:r w:rsidRPr="007432DE">
        <w:rPr>
          <w:lang w:val="ro-RO"/>
        </w:rPr>
        <w:t xml:space="preserve">în cadrul proiectului </w:t>
      </w:r>
      <w:r w:rsidR="00FB699A" w:rsidRPr="00B62A2A">
        <w:rPr>
          <w:lang w:val="ro-RO"/>
        </w:rPr>
        <w:t>„</w:t>
      </w:r>
      <w:r w:rsidR="001D122C" w:rsidRPr="001D122C">
        <w:rPr>
          <w:b/>
          <w:bCs/>
          <w:lang w:val="ro-RO"/>
        </w:rPr>
        <w:t>Excelență și inovare în epoca inteligenței artificiale, în contextul securității cibernetice, al eticii și deontologiei academice, în ASE”, CNFIS-FDI-2023-0028.</w:t>
      </w:r>
    </w:p>
    <w:p w:rsidR="001D122C" w:rsidRPr="007432DE" w:rsidRDefault="001D122C" w:rsidP="001D122C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4C276F" w:rsidRDefault="007219C3" w:rsidP="004C276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</w:t>
            </w:r>
            <w:r w:rsidR="001D122C">
              <w:rPr>
                <w:rFonts w:eastAsia="Calibri"/>
              </w:rPr>
              <w:t xml:space="preserve">IT </w:t>
            </w:r>
            <w:proofErr w:type="spellStart"/>
            <w:r w:rsidR="001D122C">
              <w:rPr>
                <w:rFonts w:eastAsia="Calibri"/>
              </w:rPr>
              <w:t>securitate</w:t>
            </w:r>
            <w:proofErr w:type="spellEnd"/>
            <w:r w:rsidR="001D122C">
              <w:rPr>
                <w:rFonts w:eastAsia="Calibri"/>
              </w:rPr>
              <w:t xml:space="preserve"> </w:t>
            </w:r>
            <w:proofErr w:type="spellStart"/>
            <w:r w:rsidR="001D122C">
              <w:rPr>
                <w:rFonts w:eastAsia="Calibri"/>
              </w:rPr>
              <w:t>cibernetică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1D122C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791A05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347EBE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  <w:r w:rsidR="007219C3">
        <w:rPr>
          <w:lang w:eastAsia="ro-RO"/>
        </w:rPr>
        <w:t xml:space="preserve"> </w:t>
      </w:r>
      <w:r w:rsidR="00347EBE">
        <w:rPr>
          <w:lang w:eastAsia="ro-RO"/>
        </w:rPr>
        <w:t>limbaje de programare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A90CFF">
        <w:rPr>
          <w:lang w:eastAsia="ro-RO"/>
        </w:rPr>
        <w:t>1 an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A90CFF" w:rsidRDefault="00A90CFF" w:rsidP="001D122C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 xml:space="preserve">Participă la </w:t>
      </w:r>
      <w:r w:rsidR="001D122C">
        <w:t>asigurarea managementului riscului, ca proces complex de identificare, evaluare și contracarare a incidentelor cibernetice la nivelul secretariatului general al ASE și al secretariatelor de facultăți și departamente pentru prevenirea pierderilor de orice natură;</w:t>
      </w:r>
    </w:p>
    <w:p w:rsidR="001D122C" w:rsidRDefault="001D122C" w:rsidP="001D122C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conștientizarea, la nivelul comunității academice a ASE, a amenințărilor din spațiul cibernetic generate de exploatarea vulnerabilităților de natură umană, tehnică și procedurală;</w:t>
      </w:r>
    </w:p>
    <w:p w:rsidR="001D122C" w:rsidRDefault="001D122C" w:rsidP="001D122C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cursul pe tema managementului identității și al prezentării soluțiilor de firewall, anti-</w:t>
      </w:r>
      <w:proofErr w:type="spellStart"/>
      <w:r>
        <w:t>phishing</w:t>
      </w:r>
      <w:proofErr w:type="spellEnd"/>
      <w:r>
        <w:t xml:space="preserve"> și antivirus, protecția împotriva atacurilor </w:t>
      </w:r>
      <w:proofErr w:type="spellStart"/>
      <w:r>
        <w:t>ransomware</w:t>
      </w:r>
      <w:proofErr w:type="spellEnd"/>
      <w:r>
        <w:t xml:space="preserve"> și spyware și protejare și backup complet a datelor esențiale;</w:t>
      </w:r>
    </w:p>
    <w:p w:rsidR="001D122C" w:rsidRPr="00753A17" w:rsidRDefault="001D122C" w:rsidP="001D122C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cursul pe tema accesării neautorizată a infrastructurilor cibernetice; modificare, ștergerea sau deteriorarea neautorizată de date informatice ori restricționarea ilegală a accesului la aceste date.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7219C3" w:rsidRPr="00E009A5" w:rsidRDefault="007219C3" w:rsidP="007219C3">
      <w:pPr>
        <w:pStyle w:val="ListParagraph"/>
        <w:spacing w:after="120" w:line="276" w:lineRule="auto"/>
        <w:ind w:hanging="720"/>
        <w:contextualSpacing/>
        <w:jc w:val="both"/>
        <w:rPr>
          <w:b/>
          <w:lang w:eastAsia="ro-RO"/>
        </w:rPr>
      </w:pPr>
      <w:r w:rsidRPr="00E009A5">
        <w:rPr>
          <w:b/>
          <w:lang w:eastAsia="ro-RO"/>
        </w:rPr>
        <w:t>Tematică:</w:t>
      </w:r>
    </w:p>
    <w:p w:rsidR="00072FD4" w:rsidRPr="00072FD4" w:rsidRDefault="00072FD4" w:rsidP="00072FD4">
      <w:pPr>
        <w:pStyle w:val="ListParagraph"/>
        <w:numPr>
          <w:ilvl w:val="0"/>
          <w:numId w:val="30"/>
        </w:numPr>
      </w:pPr>
      <w:r w:rsidRPr="00072FD4">
        <w:t>Managementul riscurilor de securitate</w:t>
      </w:r>
    </w:p>
    <w:p w:rsidR="00072FD4" w:rsidRPr="00072FD4" w:rsidRDefault="00072FD4" w:rsidP="00072FD4">
      <w:pPr>
        <w:pStyle w:val="ListParagraph"/>
        <w:numPr>
          <w:ilvl w:val="0"/>
          <w:numId w:val="30"/>
        </w:numPr>
      </w:pPr>
      <w:r w:rsidRPr="00072FD4">
        <w:t>Securitatea datelor, modele și arhitecturi de securitate</w:t>
      </w:r>
    </w:p>
    <w:p w:rsidR="00072FD4" w:rsidRPr="00072FD4" w:rsidRDefault="00072FD4" w:rsidP="00072FD4">
      <w:pPr>
        <w:pStyle w:val="ListParagraph"/>
        <w:numPr>
          <w:ilvl w:val="0"/>
          <w:numId w:val="30"/>
        </w:numPr>
      </w:pPr>
      <w:r w:rsidRPr="00072FD4">
        <w:t>Evaluarea securității și managementul vulnerabilităților</w:t>
      </w:r>
    </w:p>
    <w:p w:rsidR="00072FD4" w:rsidRPr="00072FD4" w:rsidRDefault="00072FD4" w:rsidP="00072FD4">
      <w:pPr>
        <w:pStyle w:val="ListParagraph"/>
        <w:numPr>
          <w:ilvl w:val="0"/>
          <w:numId w:val="30"/>
        </w:numPr>
      </w:pPr>
      <w:r w:rsidRPr="00072FD4">
        <w:t>Securitatea aplicațiilor</w:t>
      </w:r>
    </w:p>
    <w:p w:rsidR="00A90CFF" w:rsidRPr="00072FD4" w:rsidRDefault="00072FD4" w:rsidP="00072FD4">
      <w:pPr>
        <w:pStyle w:val="ListParagraph"/>
        <w:numPr>
          <w:ilvl w:val="0"/>
          <w:numId w:val="30"/>
        </w:numPr>
        <w:rPr>
          <w:b/>
        </w:rPr>
      </w:pPr>
      <w:r w:rsidRPr="00072FD4">
        <w:t>Recuperarea în cazul unui incident de securitate</w:t>
      </w:r>
    </w:p>
    <w:p w:rsidR="00072FD4" w:rsidRDefault="00072FD4">
      <w:pPr>
        <w:rPr>
          <w:b/>
        </w:rPr>
      </w:pPr>
      <w:r>
        <w:rPr>
          <w:b/>
        </w:rPr>
        <w:br w:type="page"/>
      </w:r>
    </w:p>
    <w:p w:rsidR="007219C3" w:rsidRPr="007A645D" w:rsidRDefault="007219C3" w:rsidP="007219C3">
      <w:proofErr w:type="spellStart"/>
      <w:r>
        <w:rPr>
          <w:b/>
        </w:rPr>
        <w:lastRenderedPageBreak/>
        <w:t>Bibliografie</w:t>
      </w:r>
      <w:proofErr w:type="spellEnd"/>
      <w:r w:rsidRPr="00C638B3">
        <w:rPr>
          <w:b/>
        </w:rPr>
        <w:t>:</w:t>
      </w:r>
    </w:p>
    <w:p w:rsidR="00072FD4" w:rsidRDefault="00072FD4" w:rsidP="00072FD4">
      <w:pPr>
        <w:pStyle w:val="Heading1"/>
        <w:numPr>
          <w:ilvl w:val="0"/>
          <w:numId w:val="31"/>
        </w:numPr>
        <w:shd w:val="clear" w:color="auto" w:fill="FCFCFC"/>
        <w:ind w:left="714" w:hanging="357"/>
        <w:jc w:val="both"/>
        <w:rPr>
          <w:b w:val="0"/>
          <w:bCs w:val="0"/>
          <w:sz w:val="24"/>
        </w:rPr>
      </w:pPr>
      <w:r w:rsidRPr="00072FD4">
        <w:rPr>
          <w:b w:val="0"/>
          <w:bCs w:val="0"/>
          <w:sz w:val="24"/>
        </w:rPr>
        <w:t>Hotărârea Guvernului nr. 271/2013 pentru aprobarea Strategiei de securitate cibernetică a României și a Planului de acțiune la nivel național privind implementarea Sistemului național de securitate cibernetică;</w:t>
      </w:r>
    </w:p>
    <w:p w:rsidR="00072FD4" w:rsidRPr="00072FD4" w:rsidRDefault="00072FD4" w:rsidP="00072FD4">
      <w:pPr>
        <w:pStyle w:val="Heading1"/>
        <w:numPr>
          <w:ilvl w:val="0"/>
          <w:numId w:val="31"/>
        </w:numPr>
        <w:shd w:val="clear" w:color="auto" w:fill="FCFCFC"/>
        <w:ind w:left="714" w:hanging="357"/>
        <w:jc w:val="both"/>
        <w:rPr>
          <w:b w:val="0"/>
          <w:bCs w:val="0"/>
          <w:sz w:val="24"/>
        </w:rPr>
      </w:pPr>
      <w:r w:rsidRPr="00072FD4">
        <w:rPr>
          <w:b w:val="0"/>
          <w:bCs w:val="0"/>
          <w:sz w:val="24"/>
        </w:rPr>
        <w:t>Legea nr. 362/2018 privind asigurarea unui nivel comun ridicat de securitate a rețelelor și sistemelor informatice;</w:t>
      </w:r>
    </w:p>
    <w:p w:rsidR="00072FD4" w:rsidRPr="00072FD4" w:rsidRDefault="00072FD4" w:rsidP="00072FD4">
      <w:pPr>
        <w:pStyle w:val="Heading1"/>
        <w:numPr>
          <w:ilvl w:val="0"/>
          <w:numId w:val="31"/>
        </w:numPr>
        <w:shd w:val="clear" w:color="auto" w:fill="FCFCFC"/>
        <w:ind w:left="714" w:hanging="357"/>
        <w:jc w:val="both"/>
        <w:rPr>
          <w:b w:val="0"/>
          <w:sz w:val="24"/>
        </w:rPr>
      </w:pPr>
      <w:r w:rsidRPr="00072FD4">
        <w:rPr>
          <w:b w:val="0"/>
          <w:sz w:val="24"/>
        </w:rPr>
        <w:t>Hotărâre Guvernului nr. 494/2011 privind înființarea Centrului Național de Răspuns la Incidente de Securitate Cibernetică - CERT-RO;</w:t>
      </w:r>
    </w:p>
    <w:p w:rsidR="00072FD4" w:rsidRPr="00072FD4" w:rsidRDefault="00072FD4" w:rsidP="00072FD4">
      <w:pPr>
        <w:pStyle w:val="Heading1"/>
        <w:numPr>
          <w:ilvl w:val="0"/>
          <w:numId w:val="31"/>
        </w:numPr>
        <w:shd w:val="clear" w:color="auto" w:fill="FCFCFC"/>
        <w:ind w:left="714" w:hanging="357"/>
        <w:jc w:val="both"/>
        <w:rPr>
          <w:b w:val="0"/>
          <w:sz w:val="24"/>
        </w:rPr>
      </w:pPr>
      <w:r w:rsidRPr="00072FD4">
        <w:rPr>
          <w:b w:val="0"/>
          <w:sz w:val="24"/>
        </w:rPr>
        <w:t xml:space="preserve">Evoluția privind securitatea cibernetică la nivel UE - </w:t>
      </w:r>
      <w:hyperlink r:id="rId7" w:history="1">
        <w:r w:rsidRPr="00072FD4">
          <w:rPr>
            <w:rStyle w:val="Hyperlink"/>
            <w:b w:val="0"/>
            <w:sz w:val="24"/>
          </w:rPr>
          <w:t>https://www.consilium.europa.eu/ro/policies/cybersecurity/</w:t>
        </w:r>
      </w:hyperlink>
      <w:r w:rsidRPr="00072FD4">
        <w:rPr>
          <w:b w:val="0"/>
          <w:sz w:val="24"/>
        </w:rPr>
        <w:t>;</w:t>
      </w:r>
    </w:p>
    <w:p w:rsidR="00072FD4" w:rsidRPr="00072FD4" w:rsidRDefault="00072FD4" w:rsidP="00072FD4">
      <w:pPr>
        <w:pStyle w:val="Heading1"/>
        <w:numPr>
          <w:ilvl w:val="0"/>
          <w:numId w:val="31"/>
        </w:numPr>
        <w:shd w:val="clear" w:color="auto" w:fill="FCFCFC"/>
        <w:ind w:left="714" w:hanging="357"/>
        <w:jc w:val="both"/>
        <w:rPr>
          <w:b w:val="0"/>
          <w:sz w:val="24"/>
        </w:rPr>
      </w:pPr>
      <w:r w:rsidRPr="00072FD4">
        <w:rPr>
          <w:b w:val="0"/>
          <w:sz w:val="24"/>
        </w:rPr>
        <w:t>Noua strategie de securitate cibernetică a UE (</w:t>
      </w:r>
      <w:proofErr w:type="spellStart"/>
      <w:r w:rsidRPr="00072FD4">
        <w:rPr>
          <w:b w:val="0"/>
          <w:sz w:val="24"/>
        </w:rPr>
        <w:t>Joint</w:t>
      </w:r>
      <w:proofErr w:type="spellEnd"/>
      <w:r w:rsidRPr="00072FD4">
        <w:rPr>
          <w:b w:val="0"/>
          <w:sz w:val="24"/>
        </w:rPr>
        <w:t xml:space="preserve"> </w:t>
      </w:r>
      <w:proofErr w:type="spellStart"/>
      <w:r w:rsidRPr="00072FD4">
        <w:rPr>
          <w:b w:val="0"/>
          <w:sz w:val="24"/>
        </w:rPr>
        <w:t>Communication</w:t>
      </w:r>
      <w:proofErr w:type="spellEnd"/>
      <w:r w:rsidRPr="00072FD4">
        <w:rPr>
          <w:b w:val="0"/>
          <w:sz w:val="24"/>
        </w:rPr>
        <w:t xml:space="preserve"> </w:t>
      </w:r>
      <w:proofErr w:type="spellStart"/>
      <w:r w:rsidRPr="00072FD4">
        <w:rPr>
          <w:b w:val="0"/>
          <w:sz w:val="24"/>
        </w:rPr>
        <w:t>to</w:t>
      </w:r>
      <w:proofErr w:type="spellEnd"/>
      <w:r w:rsidRPr="00072FD4">
        <w:rPr>
          <w:b w:val="0"/>
          <w:sz w:val="24"/>
        </w:rPr>
        <w:t xml:space="preserve"> </w:t>
      </w:r>
      <w:proofErr w:type="spellStart"/>
      <w:r w:rsidRPr="00072FD4">
        <w:rPr>
          <w:b w:val="0"/>
          <w:sz w:val="24"/>
        </w:rPr>
        <w:t>the</w:t>
      </w:r>
      <w:proofErr w:type="spellEnd"/>
      <w:r w:rsidRPr="00072FD4">
        <w:rPr>
          <w:b w:val="0"/>
          <w:sz w:val="24"/>
        </w:rPr>
        <w:t xml:space="preserve"> European </w:t>
      </w:r>
      <w:proofErr w:type="spellStart"/>
      <w:r w:rsidRPr="00072FD4">
        <w:rPr>
          <w:b w:val="0"/>
          <w:sz w:val="24"/>
        </w:rPr>
        <w:t>Parliament</w:t>
      </w:r>
      <w:proofErr w:type="spellEnd"/>
      <w:r w:rsidRPr="00072FD4">
        <w:rPr>
          <w:b w:val="0"/>
          <w:sz w:val="24"/>
        </w:rPr>
        <w:t xml:space="preserve"> </w:t>
      </w:r>
      <w:proofErr w:type="spellStart"/>
      <w:r w:rsidRPr="00072FD4">
        <w:rPr>
          <w:b w:val="0"/>
          <w:sz w:val="24"/>
        </w:rPr>
        <w:t>and</w:t>
      </w:r>
      <w:proofErr w:type="spellEnd"/>
      <w:r w:rsidRPr="00072FD4">
        <w:rPr>
          <w:b w:val="0"/>
          <w:sz w:val="24"/>
        </w:rPr>
        <w:t xml:space="preserve"> </w:t>
      </w:r>
      <w:proofErr w:type="spellStart"/>
      <w:r w:rsidRPr="00072FD4">
        <w:rPr>
          <w:b w:val="0"/>
          <w:sz w:val="24"/>
        </w:rPr>
        <w:t>the</w:t>
      </w:r>
      <w:proofErr w:type="spellEnd"/>
      <w:r w:rsidRPr="00072FD4">
        <w:rPr>
          <w:b w:val="0"/>
          <w:sz w:val="24"/>
        </w:rPr>
        <w:t xml:space="preserve"> Council – The </w:t>
      </w:r>
      <w:proofErr w:type="spellStart"/>
      <w:r w:rsidRPr="00072FD4">
        <w:rPr>
          <w:b w:val="0"/>
          <w:sz w:val="24"/>
        </w:rPr>
        <w:t>EU’s</w:t>
      </w:r>
      <w:proofErr w:type="spellEnd"/>
      <w:r w:rsidRPr="00072FD4">
        <w:rPr>
          <w:b w:val="0"/>
          <w:sz w:val="24"/>
        </w:rPr>
        <w:t xml:space="preserve"> </w:t>
      </w:r>
      <w:proofErr w:type="spellStart"/>
      <w:r w:rsidRPr="00072FD4">
        <w:rPr>
          <w:b w:val="0"/>
          <w:sz w:val="24"/>
        </w:rPr>
        <w:t>Cybersecurity</w:t>
      </w:r>
      <w:proofErr w:type="spellEnd"/>
      <w:r w:rsidRPr="00072FD4">
        <w:rPr>
          <w:b w:val="0"/>
          <w:sz w:val="24"/>
        </w:rPr>
        <w:t xml:space="preserve"> </w:t>
      </w:r>
      <w:proofErr w:type="spellStart"/>
      <w:r w:rsidRPr="00072FD4">
        <w:rPr>
          <w:b w:val="0"/>
          <w:sz w:val="24"/>
        </w:rPr>
        <w:t>Strategy</w:t>
      </w:r>
      <w:proofErr w:type="spellEnd"/>
      <w:r w:rsidRPr="00072FD4">
        <w:rPr>
          <w:b w:val="0"/>
          <w:sz w:val="24"/>
        </w:rPr>
        <w:t xml:space="preserve"> for </w:t>
      </w:r>
      <w:proofErr w:type="spellStart"/>
      <w:r w:rsidRPr="00072FD4">
        <w:rPr>
          <w:b w:val="0"/>
          <w:sz w:val="24"/>
        </w:rPr>
        <w:t>the</w:t>
      </w:r>
      <w:proofErr w:type="spellEnd"/>
      <w:r w:rsidRPr="00072FD4">
        <w:rPr>
          <w:b w:val="0"/>
          <w:sz w:val="24"/>
        </w:rPr>
        <w:t xml:space="preserve"> Digital Decade - </w:t>
      </w:r>
      <w:hyperlink r:id="rId8" w:history="1">
        <w:r w:rsidRPr="00072FD4">
          <w:rPr>
            <w:rStyle w:val="Hyperlink"/>
            <w:b w:val="0"/>
            <w:sz w:val="24"/>
          </w:rPr>
          <w:t>https://eur-lex.europa.eu/legalcontent/RO/TXT/HTML/?uri=CELEX:52020JC0018</w:t>
        </w:r>
      </w:hyperlink>
      <w:r w:rsidRPr="00072FD4">
        <w:rPr>
          <w:b w:val="0"/>
          <w:sz w:val="24"/>
        </w:rPr>
        <w:t>;</w:t>
      </w:r>
    </w:p>
    <w:p w:rsidR="00072FD4" w:rsidRPr="00072FD4" w:rsidRDefault="00072FD4" w:rsidP="00072FD4">
      <w:pPr>
        <w:pStyle w:val="Heading1"/>
        <w:numPr>
          <w:ilvl w:val="0"/>
          <w:numId w:val="31"/>
        </w:numPr>
        <w:shd w:val="clear" w:color="auto" w:fill="FCFCFC"/>
        <w:ind w:left="714" w:hanging="357"/>
        <w:jc w:val="both"/>
        <w:rPr>
          <w:b w:val="0"/>
          <w:sz w:val="24"/>
        </w:rPr>
      </w:pPr>
      <w:r w:rsidRPr="00072FD4">
        <w:rPr>
          <w:b w:val="0"/>
          <w:sz w:val="24"/>
        </w:rPr>
        <w:t xml:space="preserve">Directiva (UE) 2016/1148 a Parlamentului European și a Consiliului din 6 iulie 2016 privind măsuri pentru un nivel comun ridicat de securitate a rețelelor și a sistemelor informatice în Uniune - </w:t>
      </w:r>
      <w:hyperlink r:id="rId9" w:history="1">
        <w:r w:rsidRPr="00072FD4">
          <w:rPr>
            <w:rStyle w:val="Hyperlink"/>
            <w:b w:val="0"/>
            <w:sz w:val="24"/>
          </w:rPr>
          <w:t>https://eurlex.europa.eu/legal-content/RO/TXT/HTML/?uri=CELEX:32016L1148</w:t>
        </w:r>
      </w:hyperlink>
      <w:r w:rsidRPr="00072FD4">
        <w:rPr>
          <w:b w:val="0"/>
          <w:sz w:val="24"/>
        </w:rPr>
        <w:t>;</w:t>
      </w:r>
    </w:p>
    <w:p w:rsidR="00072FD4" w:rsidRDefault="00072FD4" w:rsidP="005B08BF">
      <w:pPr>
        <w:spacing w:after="120"/>
        <w:jc w:val="both"/>
        <w:rPr>
          <w:b/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2C2898">
        <w:rPr>
          <w:lang w:eastAsia="ro-RO"/>
        </w:rPr>
        <w:t xml:space="preserve"> sau declarația pe propria răspundere că este apt clinic pentru participarea în echipa de proiect CNFIS-FDI-202</w:t>
      </w:r>
      <w:r w:rsidR="00D65D61">
        <w:rPr>
          <w:lang w:eastAsia="ro-RO"/>
        </w:rPr>
        <w:t>2</w:t>
      </w:r>
      <w:r w:rsidR="002C2898">
        <w:rPr>
          <w:lang w:eastAsia="ro-RO"/>
        </w:rPr>
        <w:t>-</w:t>
      </w:r>
      <w:r w:rsidR="00FB699A" w:rsidRPr="00A83135">
        <w:rPr>
          <w:lang w:eastAsia="ro-RO"/>
        </w:rPr>
        <w:t>00</w:t>
      </w:r>
      <w:r w:rsidR="00A83135" w:rsidRPr="00A83135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072FD4" w:rsidRPr="00B62A2A" w:rsidRDefault="00072FD4" w:rsidP="00072FD4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4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r w:rsidRPr="006A6234">
        <w:rPr>
          <w:lang w:val="ro-RO"/>
        </w:rPr>
        <w:t xml:space="preserve">, ora 14.00, la Registratura ASE. </w:t>
      </w:r>
    </w:p>
    <w:p w:rsidR="00072FD4" w:rsidRPr="00B62A2A" w:rsidRDefault="00072FD4" w:rsidP="00072FD4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072FD4" w:rsidRPr="00B62A2A" w:rsidRDefault="00072FD4" w:rsidP="00072FD4">
      <w:pPr>
        <w:spacing w:after="120"/>
        <w:jc w:val="both"/>
        <w:rPr>
          <w:lang w:val="ro-RO"/>
        </w:rPr>
      </w:pPr>
    </w:p>
    <w:p w:rsidR="00072FD4" w:rsidRPr="00B62A2A" w:rsidRDefault="00072FD4" w:rsidP="00072FD4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072FD4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2FD4" w:rsidRPr="005E2897" w:rsidRDefault="00072FD4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072FD4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2FD4" w:rsidRPr="006A6234" w:rsidRDefault="00072FD4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2FD4" w:rsidRPr="006A6234" w:rsidRDefault="00072FD4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4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2FD4" w:rsidRPr="006A6234" w:rsidRDefault="00072FD4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2FD4" w:rsidRPr="006A6234" w:rsidRDefault="00072FD4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072FD4" w:rsidRPr="006A6234" w:rsidRDefault="00072FD4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072FD4" w:rsidRPr="006A6234" w:rsidRDefault="00072FD4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072FD4" w:rsidRPr="006A6234" w:rsidRDefault="00072FD4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072FD4" w:rsidRPr="006A6234" w:rsidRDefault="00072FD4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072FD4" w:rsidRPr="006A6234" w:rsidRDefault="00072FD4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072FD4" w:rsidRPr="006A6234" w:rsidRDefault="00072FD4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072FD4" w:rsidRPr="006A6234" w:rsidRDefault="00072FD4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072FD4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2FD4" w:rsidRPr="005E2897" w:rsidRDefault="00072FD4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72FD4" w:rsidRPr="005E2897" w:rsidRDefault="00072FD4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2FD4" w:rsidRPr="006A6234" w:rsidRDefault="00072FD4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072FD4" w:rsidRPr="00B62A2A" w:rsidRDefault="00072FD4" w:rsidP="00072FD4">
      <w:pPr>
        <w:spacing w:after="120"/>
        <w:jc w:val="both"/>
        <w:rPr>
          <w:lang w:val="ro-RO"/>
        </w:rPr>
      </w:pPr>
    </w:p>
    <w:p w:rsidR="00072FD4" w:rsidRPr="00B62A2A" w:rsidRDefault="00072FD4" w:rsidP="00072FD4">
      <w:pPr>
        <w:spacing w:after="120"/>
        <w:jc w:val="both"/>
        <w:rPr>
          <w:lang w:val="ro-RO"/>
        </w:rPr>
      </w:pPr>
    </w:p>
    <w:p w:rsidR="00072FD4" w:rsidRPr="00B62A2A" w:rsidRDefault="00072FD4" w:rsidP="00072FD4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3</w:t>
      </w:r>
    </w:p>
    <w:p w:rsidR="00072FD4" w:rsidRPr="00B62A2A" w:rsidRDefault="00072FD4" w:rsidP="00072FD4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072FD4" w:rsidRPr="00B62A2A" w:rsidRDefault="00072FD4" w:rsidP="00072FD4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E71FFB" w:rsidRPr="007432DE" w:rsidRDefault="00E71FFB" w:rsidP="00072FD4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EF" w:rsidRDefault="00D72BEF">
      <w:r>
        <w:separator/>
      </w:r>
    </w:p>
  </w:endnote>
  <w:endnote w:type="continuationSeparator" w:id="0">
    <w:p w:rsidR="00D72BEF" w:rsidRDefault="00D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E5E2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EF" w:rsidRDefault="00D72BEF">
      <w:r>
        <w:separator/>
      </w:r>
    </w:p>
  </w:footnote>
  <w:footnote w:type="continuationSeparator" w:id="0">
    <w:p w:rsidR="00D72BEF" w:rsidRDefault="00D7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FE5E26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14FC"/>
    <w:multiLevelType w:val="hybridMultilevel"/>
    <w:tmpl w:val="83BC2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89"/>
    <w:multiLevelType w:val="hybridMultilevel"/>
    <w:tmpl w:val="AC06F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1117"/>
    <w:multiLevelType w:val="hybridMultilevel"/>
    <w:tmpl w:val="9BE4F4D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162C"/>
    <w:multiLevelType w:val="hybridMultilevel"/>
    <w:tmpl w:val="C4E076E4"/>
    <w:lvl w:ilvl="0" w:tplc="A0684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D2F12"/>
    <w:multiLevelType w:val="hybridMultilevel"/>
    <w:tmpl w:val="A91E81C6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971AE1"/>
    <w:multiLevelType w:val="hybridMultilevel"/>
    <w:tmpl w:val="0BB8D0F2"/>
    <w:lvl w:ilvl="0" w:tplc="68C24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7"/>
  </w:num>
  <w:num w:numId="7">
    <w:abstractNumId w:val="9"/>
  </w:num>
  <w:num w:numId="8">
    <w:abstractNumId w:val="13"/>
  </w:num>
  <w:num w:numId="9">
    <w:abstractNumId w:val="2"/>
  </w:num>
  <w:num w:numId="10">
    <w:abstractNumId w:val="24"/>
  </w:num>
  <w:num w:numId="11">
    <w:abstractNumId w:val="6"/>
  </w:num>
  <w:num w:numId="12">
    <w:abstractNumId w:val="10"/>
  </w:num>
  <w:num w:numId="13">
    <w:abstractNumId w:val="21"/>
  </w:num>
  <w:num w:numId="14">
    <w:abstractNumId w:val="5"/>
  </w:num>
  <w:num w:numId="15">
    <w:abstractNumId w:val="20"/>
  </w:num>
  <w:num w:numId="16">
    <w:abstractNumId w:val="26"/>
  </w:num>
  <w:num w:numId="17">
    <w:abstractNumId w:val="1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8"/>
  </w:num>
  <w:num w:numId="21">
    <w:abstractNumId w:val="11"/>
  </w:num>
  <w:num w:numId="22">
    <w:abstractNumId w:val="22"/>
  </w:num>
  <w:num w:numId="23">
    <w:abstractNumId w:val="16"/>
  </w:num>
  <w:num w:numId="24">
    <w:abstractNumId w:val="15"/>
  </w:num>
  <w:num w:numId="25">
    <w:abstractNumId w:val="7"/>
  </w:num>
  <w:num w:numId="26">
    <w:abstractNumId w:val="1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72FD4"/>
    <w:rsid w:val="000C2E27"/>
    <w:rsid w:val="000E31B1"/>
    <w:rsid w:val="000E3DC3"/>
    <w:rsid w:val="000F69D1"/>
    <w:rsid w:val="00105D45"/>
    <w:rsid w:val="0014326D"/>
    <w:rsid w:val="00153A4E"/>
    <w:rsid w:val="00164B56"/>
    <w:rsid w:val="0018464A"/>
    <w:rsid w:val="00194DB3"/>
    <w:rsid w:val="001B07F8"/>
    <w:rsid w:val="001C0B5F"/>
    <w:rsid w:val="001D122C"/>
    <w:rsid w:val="001F0AF0"/>
    <w:rsid w:val="0022001B"/>
    <w:rsid w:val="002375E0"/>
    <w:rsid w:val="00254F71"/>
    <w:rsid w:val="00263835"/>
    <w:rsid w:val="002C2898"/>
    <w:rsid w:val="002D077C"/>
    <w:rsid w:val="00300820"/>
    <w:rsid w:val="003109FA"/>
    <w:rsid w:val="003147A3"/>
    <w:rsid w:val="00335B6D"/>
    <w:rsid w:val="00347EBE"/>
    <w:rsid w:val="0035096F"/>
    <w:rsid w:val="003B11B9"/>
    <w:rsid w:val="003B3ED4"/>
    <w:rsid w:val="003D4459"/>
    <w:rsid w:val="003F62A3"/>
    <w:rsid w:val="00413E47"/>
    <w:rsid w:val="00434904"/>
    <w:rsid w:val="00442624"/>
    <w:rsid w:val="00443694"/>
    <w:rsid w:val="004462AC"/>
    <w:rsid w:val="00470DE5"/>
    <w:rsid w:val="00473B5A"/>
    <w:rsid w:val="00486A34"/>
    <w:rsid w:val="004B5726"/>
    <w:rsid w:val="004B5B5E"/>
    <w:rsid w:val="004C276F"/>
    <w:rsid w:val="004D4957"/>
    <w:rsid w:val="004F3DA3"/>
    <w:rsid w:val="00520F7F"/>
    <w:rsid w:val="0053321B"/>
    <w:rsid w:val="00561F3A"/>
    <w:rsid w:val="00595366"/>
    <w:rsid w:val="005B08BF"/>
    <w:rsid w:val="005C4FC2"/>
    <w:rsid w:val="005F58C3"/>
    <w:rsid w:val="0062443A"/>
    <w:rsid w:val="00635F93"/>
    <w:rsid w:val="00661030"/>
    <w:rsid w:val="00663464"/>
    <w:rsid w:val="006669D8"/>
    <w:rsid w:val="006672B3"/>
    <w:rsid w:val="00690C2F"/>
    <w:rsid w:val="006B1A18"/>
    <w:rsid w:val="006D1954"/>
    <w:rsid w:val="006E7927"/>
    <w:rsid w:val="0070374F"/>
    <w:rsid w:val="007167D2"/>
    <w:rsid w:val="00720A11"/>
    <w:rsid w:val="00721972"/>
    <w:rsid w:val="007219C3"/>
    <w:rsid w:val="0072557E"/>
    <w:rsid w:val="007432DE"/>
    <w:rsid w:val="007468B6"/>
    <w:rsid w:val="00791A05"/>
    <w:rsid w:val="007D2515"/>
    <w:rsid w:val="007E0CC3"/>
    <w:rsid w:val="007F4E68"/>
    <w:rsid w:val="008169ED"/>
    <w:rsid w:val="00816F04"/>
    <w:rsid w:val="00821220"/>
    <w:rsid w:val="00831E27"/>
    <w:rsid w:val="00842A03"/>
    <w:rsid w:val="00873B64"/>
    <w:rsid w:val="00880DCF"/>
    <w:rsid w:val="00886E60"/>
    <w:rsid w:val="008B6C05"/>
    <w:rsid w:val="008D2A19"/>
    <w:rsid w:val="0090125F"/>
    <w:rsid w:val="00926C27"/>
    <w:rsid w:val="00932358"/>
    <w:rsid w:val="0093274A"/>
    <w:rsid w:val="00933872"/>
    <w:rsid w:val="009346AC"/>
    <w:rsid w:val="00940EC9"/>
    <w:rsid w:val="009426E3"/>
    <w:rsid w:val="00943877"/>
    <w:rsid w:val="009456B4"/>
    <w:rsid w:val="009656E8"/>
    <w:rsid w:val="00980977"/>
    <w:rsid w:val="00984780"/>
    <w:rsid w:val="009868B5"/>
    <w:rsid w:val="009A215F"/>
    <w:rsid w:val="009A60E9"/>
    <w:rsid w:val="009B0734"/>
    <w:rsid w:val="009C1F9E"/>
    <w:rsid w:val="009D5FD0"/>
    <w:rsid w:val="009E41C2"/>
    <w:rsid w:val="00A15CBE"/>
    <w:rsid w:val="00A331AB"/>
    <w:rsid w:val="00A66372"/>
    <w:rsid w:val="00A83135"/>
    <w:rsid w:val="00A90CFF"/>
    <w:rsid w:val="00A97592"/>
    <w:rsid w:val="00AA3183"/>
    <w:rsid w:val="00AB6C18"/>
    <w:rsid w:val="00AB7100"/>
    <w:rsid w:val="00B11256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0C8A"/>
    <w:rsid w:val="00C84244"/>
    <w:rsid w:val="00C96785"/>
    <w:rsid w:val="00CF7216"/>
    <w:rsid w:val="00D35912"/>
    <w:rsid w:val="00D42650"/>
    <w:rsid w:val="00D45C62"/>
    <w:rsid w:val="00D5138B"/>
    <w:rsid w:val="00D57239"/>
    <w:rsid w:val="00D65D61"/>
    <w:rsid w:val="00D72BEF"/>
    <w:rsid w:val="00D75783"/>
    <w:rsid w:val="00D94F2E"/>
    <w:rsid w:val="00DB743B"/>
    <w:rsid w:val="00E10EAB"/>
    <w:rsid w:val="00E2766B"/>
    <w:rsid w:val="00E66361"/>
    <w:rsid w:val="00E71FFB"/>
    <w:rsid w:val="00E776CF"/>
    <w:rsid w:val="00EB42BF"/>
    <w:rsid w:val="00EC0889"/>
    <w:rsid w:val="00EC511F"/>
    <w:rsid w:val="00F01E97"/>
    <w:rsid w:val="00F26CAE"/>
    <w:rsid w:val="00F761AB"/>
    <w:rsid w:val="00FA0060"/>
    <w:rsid w:val="00FA0D00"/>
    <w:rsid w:val="00FB699A"/>
    <w:rsid w:val="00FC430D"/>
    <w:rsid w:val="00FD2B7B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BA07B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7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content/RO/TXT/HTML/?uri=CELEX:52020JC0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ilium.europa.eu/ro/policies/cybersecur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lex.europa.eu/legal-content/RO/TXT/HTML/?uri=CELEX:32016L114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7784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22</cp:revision>
  <cp:lastPrinted>2017-05-16T12:04:00Z</cp:lastPrinted>
  <dcterms:created xsi:type="dcterms:W3CDTF">2020-04-08T11:21:00Z</dcterms:created>
  <dcterms:modified xsi:type="dcterms:W3CDTF">2023-04-11T11:36:00Z</dcterms:modified>
</cp:coreProperties>
</file>